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639" w:rsidRDefault="0010063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100639">
        <w:trPr>
          <w:trHeight w:val="14260"/>
        </w:trPr>
        <w:tc>
          <w:tcPr>
            <w:tcW w:w="10495" w:type="dxa"/>
          </w:tcPr>
          <w:p w:rsidR="00100639" w:rsidRDefault="00100639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40"/>
            </w:tblGrid>
            <w:tr w:rsidR="00100639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  <w:t>NAPLES EXPRESS</w:t>
                  </w:r>
                </w:p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 xml:space="preserve">  НЕАПОЛЬ</w:t>
                  </w:r>
                </w:p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 xml:space="preserve">  5 НЕЗАБЫВАЕМЫХ ДНЕЙ В НЕАПОЛЕ</w:t>
                  </w:r>
                  <w:r>
                    <w:rPr>
                      <w:rFonts w:ascii="Century Gothic" w:eastAsia="Century Gothic" w:hAnsi="Century Gothic" w:cs="Century Gothic"/>
                      <w:noProof/>
                      <w:color w:val="FFFFFF"/>
                      <w:sz w:val="28"/>
                      <w:szCs w:val="28"/>
                    </w:rPr>
                    <w:drawing>
                      <wp:inline distT="114300" distB="114300" distL="114300" distR="114300">
                        <wp:extent cx="190500" cy="276225"/>
                        <wp:effectExtent l="0" t="0" r="0" b="0"/>
                        <wp:docPr id="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 l="-56780" t="85648" r="147448" b="-63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276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100639" w:rsidRDefault="00100639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insideH w:val="single" w:sz="24" w:space="0" w:color="FFFFFF"/>
                <w:insideV w:val="single" w:sz="2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7"/>
              <w:gridCol w:w="8243"/>
            </w:tblGrid>
            <w:tr w:rsidR="00100639"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1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пятница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ind w:right="-12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Прибытие в аэропорт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.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>Индивидуальный трансфер в отель и размещение.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Уточнение деталей программы пребывания с русскоговорящим сопровождающим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Ночь в отеле.</w:t>
                  </w:r>
                </w:p>
              </w:tc>
            </w:tr>
            <w:tr w:rsidR="00100639">
              <w:trPr>
                <w:trHeight w:val="6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2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Свободное время. Для желающих экскурсия  по историческому центру Неаполя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.: </w:t>
                  </w:r>
                  <w:proofErr w:type="spellStart"/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>Дуомо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Биаджио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Грегорио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Армено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Спакканаполи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– Сан Северо (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плащаницей)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,  или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 xml:space="preserve">Подземный Неаполь </w:t>
                  </w:r>
                  <w:r>
                    <w:rPr>
                      <w:rFonts w:ascii="Century Gothic" w:eastAsia="Century Gothic" w:hAnsi="Century Gothic" w:cs="Century Gothic"/>
                    </w:rPr>
                    <w:t>(за дополнительную плату).  Возвращение в отель. Ночь в отеле.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3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воскресенье</w:t>
                  </w:r>
                </w:p>
                <w:p w:rsidR="00100639" w:rsidRDefault="00100639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Групповая 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Неаполю*. </w:t>
                  </w:r>
                  <w:r>
                    <w:rPr>
                      <w:rFonts w:ascii="Century Gothic" w:eastAsia="Century Gothic" w:hAnsi="Century Gothic" w:cs="Century Gothic"/>
                    </w:rPr>
                    <w:t>Для желающих продолжение экскурсии 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(возвращение в Неаполь самостоятельно на электричке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Чиркумвезувиана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). Для желающих  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(за дополнительную плату). Свободное время. Ночь в отеле.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4 день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понедельник</w:t>
                  </w:r>
                </w:p>
                <w:p w:rsidR="00100639" w:rsidRDefault="00100639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Свободный день или для желающих экскурсия в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Салерно</w:t>
                  </w:r>
                  <w:r>
                    <w:rPr>
                      <w:rFonts w:ascii="Century Gothic" w:eastAsia="Century Gothic" w:hAnsi="Century Gothic" w:cs="Century Gothic"/>
                    </w:rPr>
                    <w:t>.</w:t>
                  </w: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5 день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вторник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Трансфер в аэропорт Неаполя.</w:t>
                  </w:r>
                </w:p>
              </w:tc>
            </w:tr>
          </w:tbl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6894"/>
            </w:tblGrid>
            <w:tr w:rsidR="00100639" w:rsidRPr="00D40CDF">
              <w:tc>
                <w:tcPr>
                  <w:tcW w:w="10340" w:type="dxa"/>
                  <w:gridSpan w:val="2"/>
                  <w:shd w:val="clear" w:color="auto" w:fill="144678"/>
                </w:tcPr>
                <w:p w:rsidR="00100639" w:rsidRPr="00B66D2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lang w:val="en-US"/>
                    </w:rPr>
                  </w:pPr>
                  <w:r w:rsidRPr="00B66D29">
                    <w:rPr>
                      <w:rFonts w:ascii="Century Gothic" w:eastAsia="Century Gothic" w:hAnsi="Century Gothic" w:cs="Century Gothic"/>
                      <w:b/>
                      <w:color w:val="FFFFFF"/>
                      <w:lang w:val="en-US"/>
                    </w:rPr>
                    <w:t>HOTEL STARHOTEL TERMINUS  4* (OR SIMILAR)</w:t>
                  </w:r>
                </w:p>
              </w:tc>
            </w:tr>
            <w:tr w:rsidR="00100639"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Период</w:t>
                  </w:r>
                </w:p>
              </w:tc>
              <w:tc>
                <w:tcPr>
                  <w:tcW w:w="6894" w:type="dxa"/>
                  <w:shd w:val="clear" w:color="auto" w:fill="D9D9D9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14/04/2018 - 31/10/2018</w:t>
                  </w:r>
                </w:p>
              </w:tc>
            </w:tr>
            <w:tr w:rsidR="00100639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Цена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на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 чел. в DBL</w:t>
                  </w:r>
                </w:p>
              </w:tc>
              <w:tc>
                <w:tcPr>
                  <w:tcW w:w="6894" w:type="dxa"/>
                  <w:shd w:val="clear" w:color="auto" w:fill="F2F2F2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€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uro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 xml:space="preserve"> BB</w:t>
                  </w:r>
                </w:p>
              </w:tc>
            </w:tr>
            <w:tr w:rsidR="00100639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100639" w:rsidRDefault="00100639"/>
              </w:tc>
              <w:tc>
                <w:tcPr>
                  <w:tcW w:w="6894" w:type="dxa"/>
                  <w:shd w:val="clear" w:color="auto" w:fill="F2F2F2"/>
                </w:tcPr>
                <w:p w:rsidR="00100639" w:rsidRDefault="00D40CDF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366</w:t>
                  </w:r>
                  <w:bookmarkStart w:id="0" w:name="_GoBack"/>
                  <w:bookmarkEnd w:id="0"/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Доплата за SNGL</w:t>
                  </w:r>
                </w:p>
              </w:tc>
              <w:tc>
                <w:tcPr>
                  <w:tcW w:w="6894" w:type="dxa"/>
                  <w:shd w:val="clear" w:color="auto" w:fill="F2F2F2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225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</w:tbl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3447"/>
              <w:gridCol w:w="3447"/>
            </w:tblGrid>
            <w:tr w:rsidR="00100639"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€URO</w:t>
                  </w:r>
                </w:p>
              </w:tc>
            </w:tr>
          </w:tbl>
          <w:p w:rsidR="00100639" w:rsidRDefault="00100639">
            <w:pPr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aa"/>
              <w:tblW w:w="10345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5094"/>
              <w:gridCol w:w="1209"/>
            </w:tblGrid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Групповой трансфер аэропорт-отель-аэропорт*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Входные билеты в музеи и соборы 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Русскоговорящий сопровождающий на весь период тура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100639" w:rsidRDefault="00E0539A">
                  <w:pPr>
                    <w:tabs>
                      <w:tab w:val="center" w:pos="1631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Напитки и чаевые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4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3 ночи в отеле 4* на B/B 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Городской налог (оплачивается на месте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Официальные русскоговорящие гиды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2ч. групповая  экскурсия 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€38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2ч.  групповая  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Неаполю</w:t>
                  </w:r>
                </w:p>
                <w:p w:rsidR="00D40CDF" w:rsidRPr="00D40CDF" w:rsidRDefault="00D40CDF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Медстраховка</w:t>
                  </w:r>
                  <w:proofErr w:type="spellEnd"/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 по историческому центру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Merriweather" w:eastAsia="Merriweather" w:hAnsi="Merriweather" w:cs="Merriweather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включая бронь в Музей Сан Северо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( 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</w:t>
                  </w:r>
                  <w:r>
                    <w:rPr>
                      <w:rFonts w:ascii="Century Gothic" w:eastAsia="Century Gothic" w:hAnsi="Century Gothic" w:cs="Century Gothic"/>
                    </w:rPr>
                    <w:t>)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€ 13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 xml:space="preserve">,00 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*</w:t>
                  </w:r>
                </w:p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место встречи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Вомеро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виа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Чилеа</w:t>
                  </w:r>
                  <w:proofErr w:type="spellEnd"/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 музеи </w:t>
                  </w:r>
                  <w:r>
                    <w:rPr>
                      <w:rFonts w:ascii="Century Gothic" w:eastAsia="Century Gothic" w:hAnsi="Century Gothic" w:cs="Century Gothic"/>
                      <w:i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€13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>Помпеи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Экскурсия в Салерно без транспорта</w:t>
                  </w:r>
                </w:p>
                <w:p w:rsidR="00D40CDF" w:rsidRDefault="00D40CDF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Авиаперелет и виза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€190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  <w:p w:rsidR="00D40CDF" w:rsidRDefault="00D40CDF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</w:tbl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:rsidR="00100639" w:rsidRDefault="00100639">
      <w:pPr>
        <w:rPr>
          <w:rFonts w:ascii="Calibri" w:eastAsia="Calibri" w:hAnsi="Calibri" w:cs="Calibri"/>
        </w:rPr>
      </w:pPr>
    </w:p>
    <w:sectPr w:rsidR="00100639">
      <w:headerReference w:type="default" r:id="rId8"/>
      <w:footerReference w:type="default" r:id="rId9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27" w:rsidRDefault="000B0827">
      <w:r>
        <w:separator/>
      </w:r>
    </w:p>
  </w:endnote>
  <w:endnote w:type="continuationSeparator" w:id="0">
    <w:p w:rsidR="000B0827" w:rsidRDefault="000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F" w:rsidRPr="00D40CDF" w:rsidRDefault="00D40CDF" w:rsidP="00D40CDF">
    <w:r w:rsidRPr="00D40CDF">
      <w:t>По вопросам бронирования просим обращаться  по тел./факс: +38 (044) 238 08 48  (внутренний телефон 1055)  e-</w:t>
    </w:r>
    <w:proofErr w:type="spellStart"/>
    <w:r w:rsidRPr="00D40CDF">
      <w:t>mail</w:t>
    </w:r>
    <w:proofErr w:type="spellEnd"/>
    <w:r w:rsidRPr="00D40CDF">
      <w:t>: europe2@panukraine.kiev.ua</w:t>
    </w:r>
  </w:p>
  <w:p w:rsidR="00D40CDF" w:rsidRPr="00D40CDF" w:rsidRDefault="00D40CDF" w:rsidP="00D40CDF">
    <w:proofErr w:type="spellStart"/>
    <w:r w:rsidRPr="00D40CDF">
      <w:t>Деменюк</w:t>
    </w:r>
    <w:proofErr w:type="spellEnd"/>
    <w:r w:rsidRPr="00D40CDF">
      <w:t xml:space="preserve"> Николай</w:t>
    </w:r>
  </w:p>
  <w:p w:rsidR="00100639" w:rsidRPr="00B66D29" w:rsidRDefault="00E0539A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B66D29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27" w:rsidRDefault="000B0827">
      <w:r>
        <w:separator/>
      </w:r>
    </w:p>
  </w:footnote>
  <w:footnote w:type="continuationSeparator" w:id="0">
    <w:p w:rsidR="000B0827" w:rsidRDefault="000B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39" w:rsidRPr="00B66D29" w:rsidRDefault="00B66D29" w:rsidP="00B66D29">
    <w:pPr>
      <w:pStyle w:val="ae"/>
    </w:pPr>
    <w:r>
      <w:rPr>
        <w:noProof/>
      </w:rPr>
      <w:drawing>
        <wp:inline distT="0" distB="0" distL="0" distR="0">
          <wp:extent cx="1574488" cy="1047750"/>
          <wp:effectExtent l="0" t="0" r="698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88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639"/>
    <w:rsid w:val="000B0827"/>
    <w:rsid w:val="00100639"/>
    <w:rsid w:val="00B66D29"/>
    <w:rsid w:val="00D40CDF"/>
    <w:rsid w:val="00E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6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D2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6D29"/>
  </w:style>
  <w:style w:type="paragraph" w:styleId="af0">
    <w:name w:val="footer"/>
    <w:basedOn w:val="a"/>
    <w:link w:val="af1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6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D2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6D29"/>
  </w:style>
  <w:style w:type="paragraph" w:styleId="af0">
    <w:name w:val="footer"/>
    <w:basedOn w:val="a"/>
    <w:link w:val="af1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K22</cp:lastModifiedBy>
  <cp:revision>3</cp:revision>
  <dcterms:created xsi:type="dcterms:W3CDTF">2018-04-10T13:14:00Z</dcterms:created>
  <dcterms:modified xsi:type="dcterms:W3CDTF">2018-05-18T11:41:00Z</dcterms:modified>
</cp:coreProperties>
</file>