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ff9" recolor="t" angle="-135" focus="100%" type="gradient"/>
    </v:background>
  </w:background>
  <w:body>
    <w:p w:rsidR="008A06BF" w:rsidRPr="00693B34" w:rsidRDefault="00D31523" w:rsidP="005648CC">
      <w:pPr>
        <w:pStyle w:val="a3"/>
        <w:jc w:val="center"/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693B34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ВАШИ ТАЙНЫЕ МЕЧТЫ О ГРУЗИИ</w:t>
      </w:r>
    </w:p>
    <w:p w:rsidR="00C22345" w:rsidRPr="00693B34" w:rsidRDefault="00693B34" w:rsidP="00693B34">
      <w:pPr>
        <w:pStyle w:val="a3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DA6CA8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693B34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665356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2019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693B34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F251D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ая</w:t>
      </w:r>
      <w:r w:rsidRPr="00693B34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F251D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пятница</w:t>
      </w:r>
      <w:r w:rsidRPr="00693B34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</w:t>
      </w:r>
      <w:r w:rsidR="00C91B55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воскресенье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100% подтверждение</w:t>
      </w:r>
    </w:p>
    <w:p w:rsidR="008A06BF" w:rsidRPr="005727C9" w:rsidRDefault="008A06BF" w:rsidP="00535EEE">
      <w:pPr>
        <w:pStyle w:val="a3"/>
        <w:jc w:val="center"/>
        <w:rPr>
          <w:rFonts w:ascii="Comic Sans MS" w:hAnsi="Comic Sans MS"/>
          <w:b/>
          <w:color w:val="0000CC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proofErr w:type="gramStart"/>
      <w:r w:rsidR="00784DA3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</w:t>
      </w:r>
      <w:proofErr w:type="gramEnd"/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Monotype Corsiva" w:hAnsi="Monotype Corsiva"/>
          <w:b/>
          <w:noProof/>
          <w:color w:val="9900CC"/>
          <w:sz w:val="40"/>
          <w:szCs w:val="4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0BA1A098" wp14:editId="529AAF73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 xml:space="preserve">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DB58C3">
        <w:rPr>
          <w:rFonts w:ascii="Century Gothic" w:hAnsi="Century Gothic"/>
          <w:i/>
          <w:color w:val="0000FF"/>
          <w:lang w:val="ru-RU" w:eastAsia="ru-RU"/>
        </w:rPr>
        <w:t>5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DB58C3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2</w:t>
      </w:r>
      <w:r w:rsidR="00535EEE">
        <w:rPr>
          <w:rFonts w:ascii="Century Gothic" w:hAnsi="Century Gothic"/>
          <w:i/>
          <w:color w:val="0000FF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proofErr w:type="gramStart"/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="00DB58C3">
        <w:rPr>
          <w:rFonts w:ascii="Century Gothic" w:hAnsi="Century Gothic"/>
          <w:i/>
          <w:color w:val="0000FF"/>
        </w:rPr>
        <w:t>дополнительная плата на месте 20</w:t>
      </w:r>
      <w:r w:rsidRPr="00956844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с</w:t>
      </w:r>
      <w:proofErr w:type="gramEnd"/>
      <w:r w:rsidRPr="00956844">
        <w:rPr>
          <w:rFonts w:ascii="Century Gothic" w:hAnsi="Century Gothic"/>
          <w:color w:val="002060"/>
          <w:lang w:val="ru-RU"/>
        </w:rPr>
        <w:t>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B41CE5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1" wp14:anchorId="4965F2B3" wp14:editId="671C9B36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Pr="00956844" w:rsidRDefault="000270FA" w:rsidP="007C0E86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</w:t>
      </w:r>
      <w:proofErr w:type="gramStart"/>
      <w:r w:rsidRPr="00956844">
        <w:rPr>
          <w:rFonts w:ascii="Century Gothic" w:hAnsi="Century Gothic"/>
          <w:color w:val="002060"/>
        </w:rPr>
        <w:t>ии ую</w:t>
      </w:r>
      <w:proofErr w:type="gramEnd"/>
      <w:r w:rsidRPr="00956844">
        <w:rPr>
          <w:rFonts w:ascii="Century Gothic" w:hAnsi="Century Gothic"/>
          <w:color w:val="002060"/>
        </w:rPr>
        <w:t xml:space="preserve">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</w:t>
      </w:r>
      <w:proofErr w:type="spellStart"/>
      <w:r w:rsidR="000270FA"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="000270FA" w:rsidRPr="008B5795">
        <w:rPr>
          <w:rFonts w:ascii="Century Gothic" w:hAnsi="Century Gothic"/>
          <w:b/>
          <w:color w:val="002060"/>
        </w:rPr>
        <w:t>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="000270FA" w:rsidRPr="00956844">
        <w:rPr>
          <w:rFonts w:ascii="Century Gothic" w:hAnsi="Century Gothic"/>
          <w:color w:val="002060"/>
        </w:rPr>
        <w:t>Нино</w:t>
      </w:r>
      <w:proofErr w:type="spellEnd"/>
      <w:r w:rsidR="000270FA" w:rsidRPr="00956844">
        <w:rPr>
          <w:rFonts w:ascii="Century Gothic" w:hAnsi="Century Gothic"/>
          <w:color w:val="002060"/>
        </w:rPr>
        <w:t xml:space="preserve">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</w:t>
      </w:r>
      <w:proofErr w:type="spellStart"/>
      <w:r w:rsidRPr="009C704E">
        <w:rPr>
          <w:rFonts w:ascii="Century Gothic" w:hAnsi="Century Gothic"/>
          <w:b/>
          <w:i/>
          <w:color w:val="FF0000"/>
          <w:lang w:val="ru-RU" w:eastAsia="ru-RU"/>
        </w:rPr>
        <w:t>Уплисцихе</w:t>
      </w:r>
      <w:proofErr w:type="spellEnd"/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lastRenderedPageBreak/>
        <w:t xml:space="preserve">2. Ананури, Гудаури, Казбеги </w:t>
      </w:r>
    </w:p>
    <w:p w:rsidR="00DA6CA8" w:rsidRPr="009C704E" w:rsidRDefault="002900CD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5727C9">
        <w:rPr>
          <w:rFonts w:ascii="Comic Sans MS" w:hAnsi="Comic Sans MS"/>
          <w:b/>
          <w:noProof/>
          <w:color w:val="0000CC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25CAB49E" wp14:editId="6C7FD0A3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DA6CA8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proofErr w:type="gramStart"/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Шуамта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  <w:proofErr w:type="gramEnd"/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="004929F6" w:rsidRPr="00D02B2A">
        <w:rPr>
          <w:rFonts w:ascii="Century Gothic" w:hAnsi="Century Gothic"/>
          <w:color w:val="002060"/>
        </w:rPr>
        <w:t>Мимино</w:t>
      </w:r>
      <w:proofErr w:type="spellEnd"/>
      <w:r w:rsidR="004929F6" w:rsidRPr="00D02B2A">
        <w:rPr>
          <w:rFonts w:ascii="Century Gothic" w:hAnsi="Century Gothic"/>
          <w:color w:val="002060"/>
        </w:rPr>
        <w:t xml:space="preserve">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</w:t>
      </w:r>
      <w:proofErr w:type="spellStart"/>
      <w:r w:rsidRPr="00D02B2A">
        <w:rPr>
          <w:rFonts w:ascii="Century Gothic" w:hAnsi="Century Gothic"/>
          <w:color w:val="002060"/>
        </w:rPr>
        <w:t>Шухманн</w:t>
      </w:r>
      <w:proofErr w:type="spellEnd"/>
      <w:r w:rsidRPr="00D02B2A">
        <w:rPr>
          <w:rFonts w:ascii="Century Gothic" w:hAnsi="Century Gothic"/>
          <w:color w:val="002060"/>
        </w:rPr>
        <w:t xml:space="preserve"> </w:t>
      </w:r>
      <w:proofErr w:type="spellStart"/>
      <w:r w:rsidRPr="00D02B2A">
        <w:rPr>
          <w:rFonts w:ascii="Century Gothic" w:hAnsi="Century Gothic"/>
          <w:color w:val="002060"/>
        </w:rPr>
        <w:t>Вайнс</w:t>
      </w:r>
      <w:proofErr w:type="spellEnd"/>
      <w:r w:rsidRPr="00D02B2A">
        <w:rPr>
          <w:rFonts w:ascii="Century Gothic" w:hAnsi="Century Gothic"/>
          <w:color w:val="002060"/>
        </w:rPr>
        <w:t>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DA6CA8" w:rsidP="00D02B2A">
      <w:pPr>
        <w:jc w:val="both"/>
        <w:rPr>
          <w:rFonts w:ascii="Century Gothic" w:hAnsi="Century Gothic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7день:</w:t>
      </w:r>
      <w:r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Pr="00D02B2A">
        <w:rPr>
          <w:rFonts w:ascii="Century Gothic" w:hAnsi="Century Gothic"/>
          <w:b/>
          <w:color w:val="FF0000"/>
        </w:rPr>
        <w:t>Сатаплия</w:t>
      </w:r>
      <w:proofErr w:type="spellEnd"/>
      <w:r w:rsidRPr="00D02B2A">
        <w:rPr>
          <w:rFonts w:ascii="Century Gothic" w:hAnsi="Century Gothic"/>
          <w:b/>
          <w:color w:val="FF0000"/>
        </w:rPr>
        <w:t xml:space="preserve">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</w:t>
      </w:r>
      <w:proofErr w:type="spellStart"/>
      <w:r w:rsidRPr="00D02B2A">
        <w:rPr>
          <w:rFonts w:ascii="Century Gothic" w:hAnsi="Century Gothic"/>
          <w:color w:val="002060"/>
          <w:lang w:val="ru-RU" w:eastAsia="ru-RU"/>
        </w:rPr>
        <w:t>Баграти</w:t>
      </w:r>
      <w:proofErr w:type="spellEnd"/>
      <w:r w:rsidRPr="00D02B2A">
        <w:rPr>
          <w:rFonts w:ascii="Century Gothic" w:hAnsi="Century Gothic"/>
          <w:color w:val="002060"/>
          <w:lang w:val="ru-RU" w:eastAsia="ru-RU"/>
        </w:rPr>
        <w:t xml:space="preserve">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Моцамета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>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</w:t>
      </w:r>
      <w:proofErr w:type="spellStart"/>
      <w:r w:rsidRPr="00D02B2A">
        <w:rPr>
          <w:rFonts w:ascii="Century Gothic" w:hAnsi="Century Gothic"/>
          <w:color w:val="002060"/>
          <w:lang w:val="ru-RU" w:eastAsia="ru-RU"/>
        </w:rPr>
        <w:t>поверием</w:t>
      </w:r>
      <w:proofErr w:type="spellEnd"/>
      <w:r w:rsidRPr="00D02B2A">
        <w:rPr>
          <w:rFonts w:ascii="Century Gothic" w:hAnsi="Century Gothic"/>
          <w:color w:val="002060"/>
          <w:lang w:val="ru-RU" w:eastAsia="ru-RU"/>
        </w:rPr>
        <w:t xml:space="preserve"> - монастырь исполнения желаний, далее монастырь и академию </w:t>
      </w:r>
      <w:proofErr w:type="spellStart"/>
      <w:r w:rsidRPr="00D02B2A">
        <w:rPr>
          <w:rFonts w:ascii="Century Gothic" w:hAnsi="Century Gothic"/>
          <w:color w:val="002060"/>
          <w:lang w:val="ru-RU" w:eastAsia="ru-RU"/>
        </w:rPr>
        <w:t>Гелати</w:t>
      </w:r>
      <w:proofErr w:type="spellEnd"/>
      <w:r w:rsidRPr="00D02B2A">
        <w:rPr>
          <w:rFonts w:ascii="Century Gothic" w:hAnsi="Century Gothic"/>
          <w:color w:val="002060"/>
          <w:lang w:val="ru-RU" w:eastAsia="ru-RU"/>
        </w:rPr>
        <w:t xml:space="preserve">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Изюминкой экскурсии этого дня станет заповедник «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Сатаплия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». Следы динозавров, карстовые пещеры,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калхидские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D31523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XSpec="center" w:tblpY="30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25"/>
        <w:gridCol w:w="1464"/>
      </w:tblGrid>
      <w:tr w:rsidR="001E3939" w:rsidTr="001E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3366FF"/>
            <w:hideMark/>
          </w:tcPr>
          <w:p w:rsidR="001E3939" w:rsidRPr="002F751B" w:rsidRDefault="001E3939" w:rsidP="001E3939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shd w:val="clear" w:color="auto" w:fill="3366FF"/>
            <w:hideMark/>
          </w:tcPr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43" w:type="dxa"/>
            <w:gridSpan w:val="3"/>
            <w:shd w:val="clear" w:color="auto" w:fill="3366FF"/>
          </w:tcPr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FC2213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FC2213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FC2213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1525" w:type="dxa"/>
            <w:shd w:val="clear" w:color="auto" w:fill="3366FF"/>
            <w:hideMark/>
          </w:tcPr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Гарден</w:t>
            </w:r>
            <w:proofErr w:type="spellEnd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В</w:t>
            </w:r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ью,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464" w:type="dxa"/>
            <w:shd w:val="clear" w:color="auto" w:fill="3366FF"/>
            <w:hideMark/>
          </w:tcPr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1E3939" w:rsidRDefault="001E3939" w:rsidP="001E393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</w:tr>
      <w:tr w:rsidR="001E3939" w:rsidTr="001E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FFFF"/>
            <w:hideMark/>
          </w:tcPr>
          <w:p w:rsidR="001E3939" w:rsidRPr="002F751B" w:rsidRDefault="001E3939" w:rsidP="001E3939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FFFF"/>
            <w:hideMark/>
          </w:tcPr>
          <w:p w:rsidR="001E3939" w:rsidRPr="004D190C" w:rsidRDefault="001E3939" w:rsidP="004D190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4</w:t>
            </w:r>
            <w:r w:rsidR="00772C4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</w:t>
            </w:r>
            <w:r w:rsidR="004D190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CCFFFF"/>
          </w:tcPr>
          <w:p w:rsidR="001E3939" w:rsidRPr="004D190C" w:rsidRDefault="004D190C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47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  <w:tc>
          <w:tcPr>
            <w:tcW w:w="1886" w:type="dxa"/>
            <w:gridSpan w:val="2"/>
            <w:shd w:val="clear" w:color="auto" w:fill="CCFFFF"/>
            <w:hideMark/>
          </w:tcPr>
          <w:p w:rsidR="001E3939" w:rsidRPr="00772C42" w:rsidRDefault="00772C42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523</w:t>
            </w:r>
          </w:p>
        </w:tc>
        <w:tc>
          <w:tcPr>
            <w:tcW w:w="1464" w:type="dxa"/>
            <w:shd w:val="clear" w:color="auto" w:fill="CCFFFF"/>
            <w:hideMark/>
          </w:tcPr>
          <w:p w:rsidR="001E3939" w:rsidRPr="004D190C" w:rsidRDefault="004D190C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25</w:t>
            </w:r>
          </w:p>
        </w:tc>
      </w:tr>
      <w:tr w:rsidR="001E3939" w:rsidTr="001E3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ECFF"/>
            <w:hideMark/>
          </w:tcPr>
          <w:p w:rsidR="001E3939" w:rsidRPr="002F751B" w:rsidRDefault="001E3939" w:rsidP="001E3939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ECFF"/>
            <w:hideMark/>
          </w:tcPr>
          <w:p w:rsidR="001E3939" w:rsidRPr="00D31523" w:rsidRDefault="004D190C" w:rsidP="001E393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615</w:t>
            </w:r>
          </w:p>
        </w:tc>
        <w:tc>
          <w:tcPr>
            <w:tcW w:w="1320" w:type="dxa"/>
            <w:shd w:val="clear" w:color="auto" w:fill="CCECFF"/>
          </w:tcPr>
          <w:p w:rsidR="001E3939" w:rsidRPr="002834D5" w:rsidRDefault="004D190C" w:rsidP="001E393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760</w:t>
            </w:r>
          </w:p>
        </w:tc>
        <w:tc>
          <w:tcPr>
            <w:tcW w:w="1886" w:type="dxa"/>
            <w:gridSpan w:val="2"/>
            <w:shd w:val="clear" w:color="auto" w:fill="CCECFF"/>
            <w:hideMark/>
          </w:tcPr>
          <w:p w:rsidR="001E3939" w:rsidRPr="00D31523" w:rsidRDefault="004D190C" w:rsidP="001E393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910</w:t>
            </w:r>
          </w:p>
        </w:tc>
        <w:tc>
          <w:tcPr>
            <w:tcW w:w="1464" w:type="dxa"/>
            <w:shd w:val="clear" w:color="auto" w:fill="CCECFF"/>
            <w:hideMark/>
          </w:tcPr>
          <w:p w:rsidR="001E3939" w:rsidRPr="00D31523" w:rsidRDefault="004D190C" w:rsidP="001E393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1120</w:t>
            </w:r>
          </w:p>
        </w:tc>
      </w:tr>
      <w:tr w:rsidR="001E3939" w:rsidTr="001E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FFFF"/>
            <w:hideMark/>
          </w:tcPr>
          <w:p w:rsidR="001E3939" w:rsidRPr="002F751B" w:rsidRDefault="001E3939" w:rsidP="001E3939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FFFF"/>
            <w:hideMark/>
          </w:tcPr>
          <w:p w:rsidR="001E3939" w:rsidRPr="004D190C" w:rsidRDefault="004D190C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  <w:tc>
          <w:tcPr>
            <w:tcW w:w="1320" w:type="dxa"/>
            <w:shd w:val="clear" w:color="auto" w:fill="CCFFFF"/>
          </w:tcPr>
          <w:p w:rsidR="001E3939" w:rsidRPr="004D190C" w:rsidRDefault="004D190C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  <w:tc>
          <w:tcPr>
            <w:tcW w:w="1886" w:type="dxa"/>
            <w:gridSpan w:val="2"/>
            <w:shd w:val="clear" w:color="auto" w:fill="CCFFFF"/>
            <w:hideMark/>
          </w:tcPr>
          <w:p w:rsidR="001E3939" w:rsidRPr="004D190C" w:rsidRDefault="004D190C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  <w:tc>
          <w:tcPr>
            <w:tcW w:w="1464" w:type="dxa"/>
            <w:shd w:val="clear" w:color="auto" w:fill="CCFFFF"/>
            <w:hideMark/>
          </w:tcPr>
          <w:p w:rsidR="001E3939" w:rsidRPr="004D190C" w:rsidRDefault="004D190C" w:rsidP="001E39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</w:tr>
    </w:tbl>
    <w:p w:rsidR="001E3939" w:rsidRDefault="00D31523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</w:t>
      </w:r>
    </w:p>
    <w:p w:rsidR="001E3939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E3939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E3939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E3939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E3939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E3939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84DA3" w:rsidRPr="00912DCA" w:rsidRDefault="001E3939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</w:t>
      </w:r>
      <w:r w:rsidR="004D190C"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 w:rsidR="004D190C">
        <w:rPr>
          <w:rFonts w:ascii="Comic Sans MS" w:eastAsia="Times New Roman" w:hAnsi="Comic Sans MS"/>
          <w:b/>
          <w:color w:val="0000CC"/>
          <w:sz w:val="40"/>
          <w:szCs w:val="40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DF1FC8" w:rsidRPr="00D31523"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lastRenderedPageBreak/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DF1FC8" w:rsidRDefault="00DF1FC8" w:rsidP="00DF1FC8">
      <w:pPr>
        <w:rPr>
          <w:rFonts w:ascii="Times New Roman" w:hAnsi="Times New Roman"/>
        </w:rPr>
      </w:pPr>
    </w:p>
    <w:p w:rsidR="00F251D9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053FD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В сезон с </w:t>
      </w:r>
      <w:r w:rsidR="00665356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09.06.19</w:t>
      </w:r>
      <w:r w:rsidR="00C053FD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ужин будет иногда заменяться обедом с дег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устацией вина/ чачи, без доплат </w:t>
      </w:r>
      <w:r w:rsidR="00F251D9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F251D9" w:rsidRPr="00F251D9">
        <w:rPr>
          <w:rFonts w:ascii="Century Gothic" w:hAnsi="Century Gothic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Боржоми и Бакуриани, на экскурсию Гори  и </w:t>
      </w:r>
      <w:proofErr w:type="spellStart"/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, доплата </w:t>
      </w:r>
      <w:r w:rsid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на месте </w:t>
      </w:r>
      <w:r w:rsidR="00F251D9" w:rsidRPr="00F251D9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только за входные билеты. </w:t>
      </w:r>
    </w:p>
    <w:p w:rsidR="00C053FD" w:rsidRPr="006C1C53" w:rsidRDefault="00C053FD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1E3939" w:rsidRPr="00555829" w:rsidRDefault="001E3939" w:rsidP="001E3939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1E3939" w:rsidRPr="00555829" w:rsidRDefault="001E3939" w:rsidP="001E3939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1E3939" w:rsidRPr="00555829" w:rsidRDefault="001E3939" w:rsidP="001E3939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1E3939" w:rsidRPr="00555829" w:rsidRDefault="001E3939" w:rsidP="001E3939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1E3939" w:rsidRPr="00555829" w:rsidRDefault="001E3939" w:rsidP="001E3939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AE" w:rsidRDefault="00F079AE" w:rsidP="002900CD">
      <w:pPr>
        <w:spacing w:after="0" w:line="240" w:lineRule="auto"/>
      </w:pPr>
      <w:r>
        <w:separator/>
      </w:r>
    </w:p>
  </w:endnote>
  <w:endnote w:type="continuationSeparator" w:id="0">
    <w:p w:rsidR="00F079AE" w:rsidRDefault="00F079AE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AE" w:rsidRDefault="00F079AE" w:rsidP="002900CD">
      <w:pPr>
        <w:spacing w:after="0" w:line="240" w:lineRule="auto"/>
      </w:pPr>
      <w:r>
        <w:separator/>
      </w:r>
    </w:p>
  </w:footnote>
  <w:footnote w:type="continuationSeparator" w:id="0">
    <w:p w:rsidR="00F079AE" w:rsidRDefault="00F079AE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C5D8"/>
      </v:shape>
    </w:pict>
  </w:numPicBullet>
  <w:numPicBullet w:numPicBulletId="1">
    <w:pict>
      <v:shape id="_x0000_i1150" type="#_x0000_t75" style="width:9.75pt;height:9.75pt" o:bullet="t">
        <v:imagedata r:id="rId2" o:title="clip_image002"/>
      </v:shape>
    </w:pict>
  </w:numPicBullet>
  <w:numPicBullet w:numPicBulletId="2">
    <w:pict>
      <v:shape id="_x0000_i1151" type="#_x0000_t75" style="width:169.5pt;height:167.25pt" o:bullet="t">
        <v:imagedata r:id="rId3" o:title="imagesило"/>
      </v:shape>
    </w:pict>
  </w:numPicBullet>
  <w:numPicBullet w:numPicBulletId="3">
    <w:pict>
      <v:shape id="_x0000_i1152" type="#_x0000_t75" style="width:171.75pt;height:165pt" o:bullet="t">
        <v:imagedata r:id="rId4" o:title="images"/>
      </v:shape>
    </w:pict>
  </w:numPicBullet>
  <w:numPicBullet w:numPicBulletId="4">
    <w:pict>
      <v:shape id="_x0000_i1153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34E7"/>
    <w:rsid w:val="00153FBC"/>
    <w:rsid w:val="0016423B"/>
    <w:rsid w:val="00164394"/>
    <w:rsid w:val="00182BAC"/>
    <w:rsid w:val="00185651"/>
    <w:rsid w:val="0019038F"/>
    <w:rsid w:val="0019338D"/>
    <w:rsid w:val="001B3AF9"/>
    <w:rsid w:val="001B48DA"/>
    <w:rsid w:val="001D64B8"/>
    <w:rsid w:val="001E3939"/>
    <w:rsid w:val="002261AA"/>
    <w:rsid w:val="0024172B"/>
    <w:rsid w:val="0024456B"/>
    <w:rsid w:val="00251829"/>
    <w:rsid w:val="002834D5"/>
    <w:rsid w:val="002900CD"/>
    <w:rsid w:val="002D3947"/>
    <w:rsid w:val="002E3128"/>
    <w:rsid w:val="002F751B"/>
    <w:rsid w:val="003005CE"/>
    <w:rsid w:val="00305011"/>
    <w:rsid w:val="00306962"/>
    <w:rsid w:val="0034274C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A296C"/>
    <w:rsid w:val="004D190C"/>
    <w:rsid w:val="004E02D2"/>
    <w:rsid w:val="0050110F"/>
    <w:rsid w:val="00525C9E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2C42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42D9"/>
    <w:rsid w:val="008559D9"/>
    <w:rsid w:val="0089383F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64D61"/>
    <w:rsid w:val="00AA0071"/>
    <w:rsid w:val="00AA225D"/>
    <w:rsid w:val="00AE6F0E"/>
    <w:rsid w:val="00B06A1B"/>
    <w:rsid w:val="00B10924"/>
    <w:rsid w:val="00B20430"/>
    <w:rsid w:val="00B54789"/>
    <w:rsid w:val="00B6001C"/>
    <w:rsid w:val="00B70161"/>
    <w:rsid w:val="00B97D21"/>
    <w:rsid w:val="00BA7178"/>
    <w:rsid w:val="00BE6438"/>
    <w:rsid w:val="00C053FD"/>
    <w:rsid w:val="00C06127"/>
    <w:rsid w:val="00C22345"/>
    <w:rsid w:val="00C46875"/>
    <w:rsid w:val="00C47E23"/>
    <w:rsid w:val="00C60502"/>
    <w:rsid w:val="00C724E7"/>
    <w:rsid w:val="00C745C2"/>
    <w:rsid w:val="00C91B55"/>
    <w:rsid w:val="00CA6CF6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8C3"/>
    <w:rsid w:val="00DB5A65"/>
    <w:rsid w:val="00DF1FC8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C5CF6"/>
    <w:rsid w:val="00EF5E93"/>
    <w:rsid w:val="00EF7C32"/>
    <w:rsid w:val="00F079AE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C2213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A759-3676-45E1-BC81-16713731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2019-09-24T08:25:00Z</dcterms:created>
  <dcterms:modified xsi:type="dcterms:W3CDTF">2019-09-24T08:25:00Z</dcterms:modified>
</cp:coreProperties>
</file>